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6C" w:rsidRPr="00266B19" w:rsidRDefault="00F70D6C" w:rsidP="0057522F">
      <w:pPr>
        <w:spacing w:before="150" w:after="450" w:line="488" w:lineRule="atLeast"/>
        <w:ind w:left="2160" w:firstLine="720"/>
        <w:jc w:val="both"/>
        <w:rPr>
          <w:rFonts w:ascii="Times New Roman" w:eastAsia="Times New Roman" w:hAnsi="Times New Roman" w:cs="Times New Roman"/>
          <w:b/>
          <w:color w:val="000000" w:themeColor="text1"/>
          <w:spacing w:val="-3"/>
          <w:sz w:val="24"/>
          <w:szCs w:val="24"/>
        </w:rPr>
      </w:pPr>
      <w:bookmarkStart w:id="0" w:name="_GoBack"/>
      <w:bookmarkEnd w:id="0"/>
      <w:r w:rsidRPr="00266B19">
        <w:rPr>
          <w:rFonts w:ascii="Times New Roman" w:eastAsia="Times New Roman" w:hAnsi="Times New Roman" w:cs="Times New Roman"/>
          <w:b/>
          <w:color w:val="000000" w:themeColor="text1"/>
          <w:spacing w:val="-3"/>
          <w:sz w:val="24"/>
          <w:szCs w:val="24"/>
        </w:rPr>
        <w:t xml:space="preserve">Liberalization </w:t>
      </w:r>
    </w:p>
    <w:p w:rsidR="00F70D6C" w:rsidRPr="00F70D6C" w:rsidRDefault="00F70D6C" w:rsidP="00266B19">
      <w:pPr>
        <w:spacing w:before="150" w:after="450" w:line="488" w:lineRule="atLeast"/>
        <w:jc w:val="both"/>
        <w:rPr>
          <w:rFonts w:ascii="Times New Roman" w:eastAsia="Times New Roman" w:hAnsi="Times New Roman" w:cs="Times New Roman"/>
          <w:color w:val="000000" w:themeColor="text1"/>
          <w:spacing w:val="-3"/>
          <w:sz w:val="24"/>
          <w:szCs w:val="24"/>
        </w:rPr>
      </w:pPr>
      <w:r w:rsidRPr="00F70D6C">
        <w:rPr>
          <w:rFonts w:ascii="Times New Roman" w:eastAsia="Times New Roman" w:hAnsi="Times New Roman" w:cs="Times New Roman"/>
          <w:color w:val="000000" w:themeColor="text1"/>
          <w:spacing w:val="-3"/>
          <w:sz w:val="24"/>
          <w:szCs w:val="24"/>
        </w:rPr>
        <w:t xml:space="preserve">The basic aim of </w:t>
      </w:r>
      <w:r w:rsidRPr="00266B19">
        <w:rPr>
          <w:rFonts w:ascii="Times New Roman" w:eastAsia="Times New Roman" w:hAnsi="Times New Roman" w:cs="Times New Roman"/>
          <w:color w:val="000000" w:themeColor="text1"/>
          <w:spacing w:val="-3"/>
          <w:sz w:val="24"/>
          <w:szCs w:val="24"/>
          <w:bdr w:val="none" w:sz="0" w:space="0" w:color="auto" w:frame="1"/>
        </w:rPr>
        <w:t>liberalization</w:t>
      </w:r>
      <w:r w:rsidRPr="00F70D6C">
        <w:rPr>
          <w:rFonts w:ascii="Times New Roman" w:eastAsia="Times New Roman" w:hAnsi="Times New Roman" w:cs="Times New Roman"/>
          <w:color w:val="000000" w:themeColor="text1"/>
          <w:spacing w:val="-3"/>
          <w:sz w:val="24"/>
          <w:szCs w:val="24"/>
        </w:rPr>
        <w:t xml:space="preserve"> was to put an end to those restrictions which became hindrances in the development and </w:t>
      </w:r>
      <w:r w:rsidRPr="00266B19">
        <w:rPr>
          <w:rFonts w:ascii="Times New Roman" w:eastAsia="Times New Roman" w:hAnsi="Times New Roman" w:cs="Times New Roman"/>
          <w:color w:val="000000" w:themeColor="text1"/>
          <w:spacing w:val="-3"/>
          <w:sz w:val="24"/>
          <w:szCs w:val="24"/>
          <w:bdr w:val="none" w:sz="0" w:space="0" w:color="auto" w:frame="1"/>
        </w:rPr>
        <w:t>growth</w:t>
      </w:r>
      <w:r w:rsidRPr="00F70D6C">
        <w:rPr>
          <w:rFonts w:ascii="Times New Roman" w:eastAsia="Times New Roman" w:hAnsi="Times New Roman" w:cs="Times New Roman"/>
          <w:color w:val="000000" w:themeColor="text1"/>
          <w:spacing w:val="-3"/>
          <w:sz w:val="24"/>
          <w:szCs w:val="24"/>
        </w:rPr>
        <w:t xml:space="preserve"> of the nation. The loosening of government control in a </w:t>
      </w:r>
      <w:hyperlink r:id="rId5" w:history="1">
        <w:r w:rsidRPr="00266B19">
          <w:rPr>
            <w:rFonts w:ascii="Times New Roman" w:eastAsia="Times New Roman" w:hAnsi="Times New Roman" w:cs="Times New Roman"/>
            <w:color w:val="000000" w:themeColor="text1"/>
            <w:spacing w:val="-3"/>
            <w:sz w:val="24"/>
            <w:szCs w:val="24"/>
            <w:bdr w:val="none" w:sz="0" w:space="0" w:color="auto" w:frame="1"/>
          </w:rPr>
          <w:t>country</w:t>
        </w:r>
      </w:hyperlink>
      <w:r w:rsidRPr="00F70D6C">
        <w:rPr>
          <w:rFonts w:ascii="Times New Roman" w:eastAsia="Times New Roman" w:hAnsi="Times New Roman" w:cs="Times New Roman"/>
          <w:color w:val="000000" w:themeColor="text1"/>
          <w:spacing w:val="-3"/>
          <w:sz w:val="24"/>
          <w:szCs w:val="24"/>
        </w:rPr>
        <w:t xml:space="preserve"> and when </w:t>
      </w:r>
      <w:hyperlink r:id="rId6" w:tgtFrame="_blank" w:history="1">
        <w:r w:rsidRPr="00266B19">
          <w:rPr>
            <w:rFonts w:ascii="Times New Roman" w:eastAsia="Times New Roman" w:hAnsi="Times New Roman" w:cs="Times New Roman"/>
            <w:color w:val="000000" w:themeColor="text1"/>
            <w:spacing w:val="-3"/>
            <w:sz w:val="24"/>
            <w:szCs w:val="24"/>
            <w:bdr w:val="none" w:sz="0" w:space="0" w:color="auto" w:frame="1"/>
          </w:rPr>
          <w:t>private sector companies</w:t>
        </w:r>
      </w:hyperlink>
      <w:r w:rsidRPr="00F70D6C">
        <w:rPr>
          <w:rFonts w:ascii="Times New Roman" w:eastAsia="Times New Roman" w:hAnsi="Times New Roman" w:cs="Times New Roman"/>
          <w:color w:val="000000" w:themeColor="text1"/>
          <w:spacing w:val="-3"/>
          <w:sz w:val="24"/>
          <w:szCs w:val="24"/>
        </w:rPr>
        <w:t xml:space="preserve">’ start </w:t>
      </w:r>
      <w:hyperlink r:id="rId7" w:history="1">
        <w:r w:rsidRPr="00266B19">
          <w:rPr>
            <w:rFonts w:ascii="Times New Roman" w:eastAsia="Times New Roman" w:hAnsi="Times New Roman" w:cs="Times New Roman"/>
            <w:color w:val="000000" w:themeColor="text1"/>
            <w:spacing w:val="-3"/>
            <w:sz w:val="24"/>
            <w:szCs w:val="24"/>
            <w:bdr w:val="none" w:sz="0" w:space="0" w:color="auto" w:frame="1"/>
          </w:rPr>
          <w:t>working</w:t>
        </w:r>
      </w:hyperlink>
      <w:r w:rsidRPr="00F70D6C">
        <w:rPr>
          <w:rFonts w:ascii="Times New Roman" w:eastAsia="Times New Roman" w:hAnsi="Times New Roman" w:cs="Times New Roman"/>
          <w:color w:val="000000" w:themeColor="text1"/>
          <w:spacing w:val="-3"/>
          <w:sz w:val="24"/>
          <w:szCs w:val="24"/>
        </w:rPr>
        <w:t xml:space="preserve"> without or with fewer restrictions and government allow private players to expand for the growth of the country depicts liberalization in a country.</w:t>
      </w:r>
    </w:p>
    <w:p w:rsidR="00266B19" w:rsidRPr="00266B19" w:rsidRDefault="00266B19" w:rsidP="00266B19">
      <w:pPr>
        <w:pStyle w:val="Heading2"/>
        <w:spacing w:after="300" w:line="476" w:lineRule="atLeast"/>
        <w:ind w:left="-24"/>
        <w:jc w:val="both"/>
        <w:rPr>
          <w:rFonts w:ascii="Times New Roman" w:hAnsi="Times New Roman" w:cs="Times New Roman"/>
          <w:color w:val="000000" w:themeColor="text1"/>
          <w:spacing w:val="-4"/>
          <w:sz w:val="24"/>
          <w:szCs w:val="24"/>
        </w:rPr>
      </w:pPr>
      <w:r w:rsidRPr="00266B19">
        <w:rPr>
          <w:rStyle w:val="Strong"/>
          <w:rFonts w:ascii="Times New Roman" w:hAnsi="Times New Roman" w:cs="Times New Roman"/>
          <w:b w:val="0"/>
          <w:bCs w:val="0"/>
          <w:color w:val="000000" w:themeColor="text1"/>
          <w:spacing w:val="-4"/>
          <w:sz w:val="24"/>
          <w:szCs w:val="24"/>
        </w:rPr>
        <w:t>Objectives of Liberalization Policy</w:t>
      </w:r>
    </w:p>
    <w:p w:rsidR="00266B19" w:rsidRPr="00266B19" w:rsidRDefault="00266B19" w:rsidP="00266B19">
      <w:pPr>
        <w:numPr>
          <w:ilvl w:val="0"/>
          <w:numId w:val="1"/>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 xml:space="preserve">To increase competition amongst domestic </w:t>
      </w:r>
      <w:hyperlink r:id="rId8" w:history="1">
        <w:r w:rsidRPr="00266B19">
          <w:rPr>
            <w:rStyle w:val="Hyperlink"/>
            <w:rFonts w:ascii="Times New Roman" w:hAnsi="Times New Roman" w:cs="Times New Roman"/>
            <w:color w:val="000000" w:themeColor="text1"/>
            <w:sz w:val="24"/>
            <w:szCs w:val="24"/>
            <w:u w:val="none"/>
            <w:bdr w:val="none" w:sz="0" w:space="0" w:color="auto" w:frame="1"/>
          </w:rPr>
          <w:t>industries</w:t>
        </w:r>
      </w:hyperlink>
      <w:r w:rsidRPr="00266B19">
        <w:rPr>
          <w:rFonts w:ascii="Times New Roman" w:hAnsi="Times New Roman" w:cs="Times New Roman"/>
          <w:color w:val="000000" w:themeColor="text1"/>
          <w:sz w:val="24"/>
          <w:szCs w:val="24"/>
        </w:rPr>
        <w:t>.</w:t>
      </w:r>
    </w:p>
    <w:p w:rsidR="00266B19" w:rsidRPr="00266B19" w:rsidRDefault="00266B19" w:rsidP="00266B19">
      <w:pPr>
        <w:numPr>
          <w:ilvl w:val="0"/>
          <w:numId w:val="1"/>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To encourage foreign trade with other countries with regulated imports and exports.</w:t>
      </w:r>
    </w:p>
    <w:p w:rsidR="00266B19" w:rsidRPr="00266B19" w:rsidRDefault="00266B19" w:rsidP="00266B19">
      <w:pPr>
        <w:numPr>
          <w:ilvl w:val="0"/>
          <w:numId w:val="1"/>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Enhancement of foreign capital and technology.</w:t>
      </w:r>
    </w:p>
    <w:p w:rsidR="00266B19" w:rsidRPr="00266B19" w:rsidRDefault="00266B19" w:rsidP="00266B19">
      <w:pPr>
        <w:numPr>
          <w:ilvl w:val="0"/>
          <w:numId w:val="1"/>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To expand global market frontiers of the country.</w:t>
      </w:r>
    </w:p>
    <w:p w:rsidR="00266B19" w:rsidRPr="00266B19" w:rsidRDefault="00266B19" w:rsidP="00266B19">
      <w:pPr>
        <w:numPr>
          <w:ilvl w:val="0"/>
          <w:numId w:val="1"/>
        </w:numPr>
        <w:spacing w:before="100" w:beforeAutospacing="1" w:after="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 xml:space="preserve">To diminish the </w:t>
      </w:r>
      <w:hyperlink r:id="rId9" w:history="1">
        <w:r w:rsidRPr="00266B19">
          <w:rPr>
            <w:rStyle w:val="Hyperlink"/>
            <w:rFonts w:ascii="Times New Roman" w:hAnsi="Times New Roman" w:cs="Times New Roman"/>
            <w:color w:val="000000" w:themeColor="text1"/>
            <w:sz w:val="24"/>
            <w:szCs w:val="24"/>
            <w:u w:val="none"/>
            <w:bdr w:val="none" w:sz="0" w:space="0" w:color="auto" w:frame="1"/>
          </w:rPr>
          <w:t>debt</w:t>
        </w:r>
      </w:hyperlink>
      <w:r w:rsidRPr="00266B19">
        <w:rPr>
          <w:rFonts w:ascii="Times New Roman" w:hAnsi="Times New Roman" w:cs="Times New Roman"/>
          <w:color w:val="000000" w:themeColor="text1"/>
          <w:sz w:val="24"/>
          <w:szCs w:val="24"/>
        </w:rPr>
        <w:t xml:space="preserve"> burden of the country.</w:t>
      </w:r>
    </w:p>
    <w:p w:rsidR="00266B19" w:rsidRPr="00266B19" w:rsidRDefault="00266B19" w:rsidP="00266B19">
      <w:pPr>
        <w:pStyle w:val="Heading2"/>
        <w:spacing w:after="300" w:line="476" w:lineRule="atLeast"/>
        <w:ind w:left="-24"/>
        <w:jc w:val="both"/>
        <w:rPr>
          <w:rFonts w:ascii="Times New Roman" w:hAnsi="Times New Roman" w:cs="Times New Roman"/>
          <w:color w:val="000000" w:themeColor="text1"/>
          <w:spacing w:val="-4"/>
          <w:sz w:val="24"/>
          <w:szCs w:val="24"/>
        </w:rPr>
      </w:pPr>
      <w:r w:rsidRPr="00266B19">
        <w:rPr>
          <w:rStyle w:val="Strong"/>
          <w:rFonts w:ascii="Times New Roman" w:hAnsi="Times New Roman" w:cs="Times New Roman"/>
          <w:b w:val="0"/>
          <w:bCs w:val="0"/>
          <w:color w:val="000000" w:themeColor="text1"/>
          <w:spacing w:val="-4"/>
          <w:sz w:val="24"/>
          <w:szCs w:val="24"/>
        </w:rPr>
        <w:t>Economic Reforms during Liberalization</w:t>
      </w:r>
    </w:p>
    <w:p w:rsidR="00266B19" w:rsidRPr="00266B19" w:rsidRDefault="00266B19" w:rsidP="00266B19">
      <w:pPr>
        <w:pStyle w:val="NormalWeb"/>
        <w:spacing w:before="150" w:beforeAutospacing="0" w:after="450" w:afterAutospacing="0" w:line="488" w:lineRule="atLeast"/>
        <w:jc w:val="both"/>
        <w:rPr>
          <w:color w:val="000000" w:themeColor="text1"/>
          <w:spacing w:val="-3"/>
        </w:rPr>
      </w:pPr>
      <w:r w:rsidRPr="00266B19">
        <w:rPr>
          <w:color w:val="000000" w:themeColor="text1"/>
          <w:spacing w:val="-3"/>
        </w:rPr>
        <w:t>Many sectors were impacted during the course of Liberalization. They were:</w:t>
      </w:r>
    </w:p>
    <w:p w:rsidR="00266B19" w:rsidRPr="00266B19" w:rsidRDefault="00266B19" w:rsidP="00266B19">
      <w:pPr>
        <w:numPr>
          <w:ilvl w:val="0"/>
          <w:numId w:val="2"/>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Industrial Sector Reforms</w:t>
      </w:r>
    </w:p>
    <w:p w:rsidR="00266B19" w:rsidRPr="00266B19" w:rsidRDefault="00266B19" w:rsidP="00266B19">
      <w:pPr>
        <w:numPr>
          <w:ilvl w:val="0"/>
          <w:numId w:val="2"/>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Financial Sector Reforms</w:t>
      </w:r>
    </w:p>
    <w:p w:rsidR="00266B19" w:rsidRPr="00266B19" w:rsidRDefault="00266B19" w:rsidP="00266B19">
      <w:pPr>
        <w:numPr>
          <w:ilvl w:val="0"/>
          <w:numId w:val="2"/>
        </w:numPr>
        <w:spacing w:before="100" w:beforeAutospacing="1" w:after="210" w:line="498" w:lineRule="atLeast"/>
        <w:ind w:left="450"/>
        <w:jc w:val="both"/>
        <w:rPr>
          <w:rFonts w:ascii="Times New Roman" w:hAnsi="Times New Roman" w:cs="Times New Roman"/>
          <w:color w:val="000000" w:themeColor="text1"/>
          <w:sz w:val="24"/>
          <w:szCs w:val="24"/>
        </w:rPr>
      </w:pPr>
      <w:hyperlink r:id="rId10" w:history="1">
        <w:r w:rsidRPr="00266B19">
          <w:rPr>
            <w:rStyle w:val="Hyperlink"/>
            <w:rFonts w:ascii="Times New Roman" w:hAnsi="Times New Roman" w:cs="Times New Roman"/>
            <w:color w:val="000000" w:themeColor="text1"/>
            <w:sz w:val="24"/>
            <w:szCs w:val="24"/>
            <w:u w:val="none"/>
            <w:bdr w:val="none" w:sz="0" w:space="0" w:color="auto" w:frame="1"/>
          </w:rPr>
          <w:t>Tax</w:t>
        </w:r>
      </w:hyperlink>
      <w:r w:rsidRPr="00266B19">
        <w:rPr>
          <w:rFonts w:ascii="Times New Roman" w:hAnsi="Times New Roman" w:cs="Times New Roman"/>
          <w:color w:val="000000" w:themeColor="text1"/>
          <w:sz w:val="24"/>
          <w:szCs w:val="24"/>
        </w:rPr>
        <w:t xml:space="preserve"> Reforms / Fiscal Reforms</w:t>
      </w:r>
    </w:p>
    <w:p w:rsidR="00266B19" w:rsidRPr="00266B19" w:rsidRDefault="00266B19" w:rsidP="00266B19">
      <w:pPr>
        <w:numPr>
          <w:ilvl w:val="0"/>
          <w:numId w:val="2"/>
        </w:numPr>
        <w:spacing w:before="100" w:beforeAutospacing="1" w:after="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Foreign Exchange Reforms / External Sector Reforms</w:t>
      </w:r>
    </w:p>
    <w:p w:rsidR="00266B19" w:rsidRPr="00266B19" w:rsidRDefault="00266B19" w:rsidP="00266B19">
      <w:pPr>
        <w:pStyle w:val="NormalWeb"/>
        <w:spacing w:before="150" w:beforeAutospacing="0" w:after="450" w:afterAutospacing="0" w:line="488" w:lineRule="atLeast"/>
        <w:jc w:val="both"/>
        <w:rPr>
          <w:color w:val="000000" w:themeColor="text1"/>
          <w:spacing w:val="-3"/>
        </w:rPr>
      </w:pPr>
      <w:r w:rsidRPr="00266B19">
        <w:rPr>
          <w:color w:val="000000" w:themeColor="text1"/>
          <w:spacing w:val="-3"/>
        </w:rPr>
        <w:t>Let us discuss all reforms in detail:</w:t>
      </w:r>
    </w:p>
    <w:p w:rsidR="00266B19" w:rsidRPr="00266B19" w:rsidRDefault="00266B19" w:rsidP="00266B19">
      <w:pPr>
        <w:pStyle w:val="Heading3"/>
        <w:spacing w:line="367" w:lineRule="atLeast"/>
        <w:jc w:val="both"/>
        <w:rPr>
          <w:rFonts w:ascii="Times New Roman" w:hAnsi="Times New Roman" w:cs="Times New Roman"/>
          <w:color w:val="000000" w:themeColor="text1"/>
        </w:rPr>
      </w:pPr>
      <w:r w:rsidRPr="00266B19">
        <w:rPr>
          <w:rStyle w:val="Strong"/>
          <w:rFonts w:ascii="Times New Roman" w:hAnsi="Times New Roman" w:cs="Times New Roman"/>
          <w:b w:val="0"/>
          <w:bCs w:val="0"/>
          <w:i/>
          <w:iCs/>
          <w:color w:val="000000" w:themeColor="text1"/>
        </w:rPr>
        <w:lastRenderedPageBreak/>
        <w:t>1. Industrial Sector Reforms</w:t>
      </w:r>
    </w:p>
    <w:p w:rsidR="00266B19" w:rsidRPr="00266B19" w:rsidRDefault="00266B19" w:rsidP="00266B19">
      <w:pPr>
        <w:pStyle w:val="NormalWeb"/>
        <w:spacing w:before="150" w:beforeAutospacing="0" w:after="450" w:afterAutospacing="0" w:line="488" w:lineRule="atLeast"/>
        <w:jc w:val="both"/>
        <w:rPr>
          <w:color w:val="000000" w:themeColor="text1"/>
          <w:spacing w:val="-3"/>
        </w:rPr>
      </w:pPr>
      <w:r w:rsidRPr="00266B19">
        <w:rPr>
          <w:color w:val="000000" w:themeColor="text1"/>
          <w:spacing w:val="-3"/>
        </w:rPr>
        <w:t>A number of reformative steps were taken to deregulate the industrial sector. Like,</w:t>
      </w:r>
    </w:p>
    <w:p w:rsidR="00266B19" w:rsidRPr="00266B19" w:rsidRDefault="00266B19" w:rsidP="00266B19">
      <w:pPr>
        <w:pStyle w:val="Heading4"/>
        <w:spacing w:line="330" w:lineRule="atLeast"/>
        <w:jc w:val="both"/>
        <w:rPr>
          <w:rFonts w:ascii="Times New Roman" w:hAnsi="Times New Roman" w:cs="Times New Roman"/>
          <w:color w:val="000000" w:themeColor="text1"/>
          <w:sz w:val="24"/>
          <w:szCs w:val="24"/>
        </w:rPr>
      </w:pPr>
      <w:r w:rsidRPr="00266B19">
        <w:rPr>
          <w:rStyle w:val="Strong"/>
          <w:rFonts w:ascii="Times New Roman" w:hAnsi="Times New Roman" w:cs="Times New Roman"/>
          <w:b w:val="0"/>
          <w:bCs w:val="0"/>
          <w:color w:val="000000" w:themeColor="text1"/>
          <w:sz w:val="24"/>
          <w:szCs w:val="24"/>
        </w:rPr>
        <w:t>I. Abolition of Industrial Licensing</w:t>
      </w:r>
    </w:p>
    <w:p w:rsidR="00266B19" w:rsidRPr="00266B19" w:rsidRDefault="00266B19" w:rsidP="00266B19">
      <w:pPr>
        <w:pStyle w:val="NormalWeb"/>
        <w:spacing w:before="150" w:beforeAutospacing="0" w:after="450" w:afterAutospacing="0" w:line="488" w:lineRule="atLeast"/>
        <w:jc w:val="both"/>
        <w:rPr>
          <w:color w:val="000000" w:themeColor="text1"/>
          <w:spacing w:val="-3"/>
        </w:rPr>
      </w:pPr>
      <w:r w:rsidRPr="00266B19">
        <w:rPr>
          <w:color w:val="000000" w:themeColor="text1"/>
          <w:spacing w:val="-3"/>
        </w:rPr>
        <w:t>The government abolished the licensing requirements of all industries, except for five industries, which are:</w:t>
      </w:r>
    </w:p>
    <w:p w:rsidR="00266B19" w:rsidRPr="00266B19" w:rsidRDefault="00266B19" w:rsidP="00266B19">
      <w:pPr>
        <w:numPr>
          <w:ilvl w:val="0"/>
          <w:numId w:val="3"/>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Liquor</w:t>
      </w:r>
    </w:p>
    <w:p w:rsidR="00266B19" w:rsidRPr="00266B19" w:rsidRDefault="00266B19" w:rsidP="00266B19">
      <w:pPr>
        <w:numPr>
          <w:ilvl w:val="0"/>
          <w:numId w:val="3"/>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Cigarettes</w:t>
      </w:r>
    </w:p>
    <w:p w:rsidR="00266B19" w:rsidRPr="00266B19" w:rsidRDefault="00266B19" w:rsidP="00266B19">
      <w:pPr>
        <w:numPr>
          <w:ilvl w:val="0"/>
          <w:numId w:val="3"/>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Defense equipment</w:t>
      </w:r>
    </w:p>
    <w:p w:rsidR="00266B19" w:rsidRPr="00266B19" w:rsidRDefault="00266B19" w:rsidP="00266B19">
      <w:pPr>
        <w:numPr>
          <w:ilvl w:val="0"/>
          <w:numId w:val="3"/>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Industrial Explosives</w:t>
      </w:r>
    </w:p>
    <w:p w:rsidR="00266B19" w:rsidRPr="00266B19" w:rsidRDefault="00266B19" w:rsidP="00266B19">
      <w:pPr>
        <w:numPr>
          <w:ilvl w:val="0"/>
          <w:numId w:val="3"/>
        </w:numPr>
        <w:spacing w:before="100" w:beforeAutospacing="1" w:after="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 xml:space="preserve">Dangerous </w:t>
      </w:r>
      <w:hyperlink r:id="rId11" w:history="1">
        <w:r w:rsidRPr="00266B19">
          <w:rPr>
            <w:rStyle w:val="Hyperlink"/>
            <w:rFonts w:ascii="Times New Roman" w:hAnsi="Times New Roman" w:cs="Times New Roman"/>
            <w:color w:val="000000" w:themeColor="text1"/>
            <w:sz w:val="24"/>
            <w:szCs w:val="24"/>
            <w:u w:val="none"/>
            <w:bdr w:val="none" w:sz="0" w:space="0" w:color="auto" w:frame="1"/>
          </w:rPr>
          <w:t>Chemicals</w:t>
        </w:r>
      </w:hyperlink>
      <w:r w:rsidRPr="00266B19">
        <w:rPr>
          <w:rFonts w:ascii="Times New Roman" w:hAnsi="Times New Roman" w:cs="Times New Roman"/>
          <w:color w:val="000000" w:themeColor="text1"/>
          <w:sz w:val="24"/>
          <w:szCs w:val="24"/>
        </w:rPr>
        <w:t xml:space="preserve">, </w:t>
      </w:r>
      <w:hyperlink r:id="rId12" w:history="1">
        <w:r w:rsidRPr="00266B19">
          <w:rPr>
            <w:rStyle w:val="Hyperlink"/>
            <w:rFonts w:ascii="Times New Roman" w:hAnsi="Times New Roman" w:cs="Times New Roman"/>
            <w:color w:val="000000" w:themeColor="text1"/>
            <w:sz w:val="24"/>
            <w:szCs w:val="24"/>
            <w:u w:val="none"/>
            <w:bdr w:val="none" w:sz="0" w:space="0" w:color="auto" w:frame="1"/>
          </w:rPr>
          <w:t>drugs</w:t>
        </w:r>
      </w:hyperlink>
      <w:r w:rsidRPr="00266B19">
        <w:rPr>
          <w:rFonts w:ascii="Times New Roman" w:hAnsi="Times New Roman" w:cs="Times New Roman"/>
          <w:color w:val="000000" w:themeColor="text1"/>
          <w:sz w:val="24"/>
          <w:szCs w:val="24"/>
        </w:rPr>
        <w:t>, and pharmaceuticals</w:t>
      </w:r>
    </w:p>
    <w:p w:rsidR="00266B19" w:rsidRPr="00266B19" w:rsidRDefault="00266B19" w:rsidP="00266B19">
      <w:pPr>
        <w:pStyle w:val="Heading4"/>
        <w:spacing w:line="330" w:lineRule="atLeast"/>
        <w:jc w:val="both"/>
        <w:rPr>
          <w:rFonts w:ascii="Times New Roman" w:hAnsi="Times New Roman" w:cs="Times New Roman"/>
          <w:color w:val="000000" w:themeColor="text1"/>
          <w:sz w:val="24"/>
          <w:szCs w:val="24"/>
        </w:rPr>
      </w:pPr>
      <w:r w:rsidRPr="00266B19">
        <w:rPr>
          <w:rStyle w:val="Strong"/>
          <w:rFonts w:ascii="Times New Roman" w:hAnsi="Times New Roman" w:cs="Times New Roman"/>
          <w:b w:val="0"/>
          <w:bCs w:val="0"/>
          <w:color w:val="000000" w:themeColor="text1"/>
          <w:sz w:val="24"/>
          <w:szCs w:val="24"/>
        </w:rPr>
        <w:t>II.  Contraction of Public Sector</w:t>
      </w:r>
    </w:p>
    <w:p w:rsidR="00266B19" w:rsidRPr="00266B19" w:rsidRDefault="00266B19" w:rsidP="00266B19">
      <w:pPr>
        <w:pStyle w:val="NormalWeb"/>
        <w:spacing w:before="150" w:beforeAutospacing="0" w:after="450" w:afterAutospacing="0" w:line="488" w:lineRule="atLeast"/>
        <w:jc w:val="both"/>
        <w:rPr>
          <w:color w:val="000000" w:themeColor="text1"/>
          <w:spacing w:val="-3"/>
        </w:rPr>
      </w:pPr>
      <w:r w:rsidRPr="00266B19">
        <w:rPr>
          <w:color w:val="000000" w:themeColor="text1"/>
          <w:spacing w:val="-3"/>
        </w:rPr>
        <w:t>A number of public sector industries which were earlier reserved under governmental control reduced from 17 to 8 in the count. Presently these companies are only 3 in number. Public sector undertaking controls in the sectors mentioned below –</w:t>
      </w:r>
    </w:p>
    <w:p w:rsidR="00266B19" w:rsidRPr="00266B19" w:rsidRDefault="00266B19" w:rsidP="00266B19">
      <w:pPr>
        <w:numPr>
          <w:ilvl w:val="0"/>
          <w:numId w:val="4"/>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Railways</w:t>
      </w:r>
    </w:p>
    <w:p w:rsidR="00266B19" w:rsidRPr="00266B19" w:rsidRDefault="00266B19" w:rsidP="00266B19">
      <w:pPr>
        <w:numPr>
          <w:ilvl w:val="0"/>
          <w:numId w:val="4"/>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Atomic Energy</w:t>
      </w:r>
    </w:p>
    <w:p w:rsidR="00266B19" w:rsidRPr="00266B19" w:rsidRDefault="00266B19" w:rsidP="00266B19">
      <w:pPr>
        <w:numPr>
          <w:ilvl w:val="0"/>
          <w:numId w:val="4"/>
        </w:numPr>
        <w:spacing w:before="100" w:beforeAutospacing="1" w:after="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Defense</w:t>
      </w:r>
    </w:p>
    <w:p w:rsidR="00266B19" w:rsidRPr="00266B19" w:rsidRDefault="00266B19" w:rsidP="00266B19">
      <w:pPr>
        <w:pStyle w:val="Heading4"/>
        <w:spacing w:line="330" w:lineRule="atLeast"/>
        <w:jc w:val="both"/>
        <w:rPr>
          <w:rFonts w:ascii="Times New Roman" w:hAnsi="Times New Roman" w:cs="Times New Roman"/>
          <w:color w:val="000000" w:themeColor="text1"/>
          <w:sz w:val="24"/>
          <w:szCs w:val="24"/>
        </w:rPr>
      </w:pPr>
      <w:r w:rsidRPr="00266B19">
        <w:rPr>
          <w:rStyle w:val="Strong"/>
          <w:rFonts w:ascii="Times New Roman" w:hAnsi="Times New Roman" w:cs="Times New Roman"/>
          <w:b w:val="0"/>
          <w:bCs w:val="0"/>
          <w:color w:val="000000" w:themeColor="text1"/>
          <w:sz w:val="24"/>
          <w:szCs w:val="24"/>
        </w:rPr>
        <w:t>III. De-reservation of Production Areas</w:t>
      </w:r>
    </w:p>
    <w:p w:rsidR="00266B19" w:rsidRPr="00266B19" w:rsidRDefault="00266B19" w:rsidP="00266B19">
      <w:pPr>
        <w:pStyle w:val="NormalWeb"/>
        <w:spacing w:before="150" w:beforeAutospacing="0" w:after="450" w:afterAutospacing="0" w:line="488" w:lineRule="atLeast"/>
        <w:jc w:val="both"/>
        <w:rPr>
          <w:color w:val="000000" w:themeColor="text1"/>
          <w:spacing w:val="-3"/>
        </w:rPr>
      </w:pPr>
      <w:r w:rsidRPr="00266B19">
        <w:rPr>
          <w:color w:val="000000" w:themeColor="text1"/>
          <w:spacing w:val="-3"/>
        </w:rPr>
        <w:t xml:space="preserve">The productions areas which were earlier reserved for </w:t>
      </w:r>
      <w:hyperlink r:id="rId13" w:tgtFrame="_blank" w:history="1">
        <w:r w:rsidRPr="00266B19">
          <w:rPr>
            <w:rStyle w:val="Hyperlink"/>
            <w:color w:val="000000" w:themeColor="text1"/>
            <w:spacing w:val="-3"/>
            <w:u w:val="none"/>
            <w:bdr w:val="none" w:sz="0" w:space="0" w:color="auto" w:frame="1"/>
          </w:rPr>
          <w:t>Small Scale Industries</w:t>
        </w:r>
      </w:hyperlink>
      <w:r w:rsidRPr="00266B19">
        <w:rPr>
          <w:color w:val="000000" w:themeColor="text1"/>
          <w:spacing w:val="-3"/>
        </w:rPr>
        <w:t xml:space="preserve"> were de-reserved to all. This improved the land efficiency and developed more cultivation area across the country. Farmers </w:t>
      </w:r>
      <w:r w:rsidRPr="00266B19">
        <w:rPr>
          <w:color w:val="000000" w:themeColor="text1"/>
          <w:spacing w:val="-3"/>
        </w:rPr>
        <w:lastRenderedPageBreak/>
        <w:t>were earlier restricted to use area owned by them. Later during privatization, many private sector organizations entered into the sector of farming. Liberalization technically increased the production per hectare and supported the growth of the nation.</w:t>
      </w:r>
    </w:p>
    <w:p w:rsidR="00266B19" w:rsidRPr="00266B19" w:rsidRDefault="00266B19" w:rsidP="00266B19">
      <w:pPr>
        <w:pStyle w:val="Heading4"/>
        <w:spacing w:line="330" w:lineRule="atLeast"/>
        <w:jc w:val="both"/>
        <w:rPr>
          <w:rFonts w:ascii="Times New Roman" w:hAnsi="Times New Roman" w:cs="Times New Roman"/>
          <w:color w:val="000000" w:themeColor="text1"/>
          <w:sz w:val="24"/>
          <w:szCs w:val="24"/>
        </w:rPr>
      </w:pPr>
      <w:r w:rsidRPr="00266B19">
        <w:rPr>
          <w:rStyle w:val="Strong"/>
          <w:rFonts w:ascii="Times New Roman" w:hAnsi="Times New Roman" w:cs="Times New Roman"/>
          <w:b w:val="0"/>
          <w:bCs w:val="0"/>
          <w:color w:val="000000" w:themeColor="text1"/>
          <w:sz w:val="24"/>
          <w:szCs w:val="24"/>
        </w:rPr>
        <w:t>IV. Expansion of Production Capacity</w:t>
      </w:r>
    </w:p>
    <w:p w:rsidR="00266B19" w:rsidRPr="00266B19" w:rsidRDefault="00266B19" w:rsidP="00266B19">
      <w:pPr>
        <w:pStyle w:val="NormalWeb"/>
        <w:spacing w:before="150" w:beforeAutospacing="0" w:after="450" w:afterAutospacing="0" w:line="488" w:lineRule="atLeast"/>
        <w:jc w:val="both"/>
        <w:rPr>
          <w:color w:val="000000" w:themeColor="text1"/>
          <w:spacing w:val="-3"/>
        </w:rPr>
      </w:pPr>
      <w:r w:rsidRPr="00266B19">
        <w:rPr>
          <w:color w:val="000000" w:themeColor="text1"/>
          <w:spacing w:val="-3"/>
        </w:rPr>
        <w:t>The producers were voluntarily allowed to expand their production capacity according to the nature of the market. They were allowed to choose their own crop or product. On the study of the market conditions related to demand and supply the producers were allowed to choose the size of land under cultivation for each crop and had a liberty to plan their production either for the domestic market or international markets.</w:t>
      </w:r>
    </w:p>
    <w:p w:rsidR="00266B19" w:rsidRPr="00266B19" w:rsidRDefault="00266B19" w:rsidP="00266B19">
      <w:pPr>
        <w:pStyle w:val="NormalWeb"/>
        <w:spacing w:before="150" w:beforeAutospacing="0" w:after="450" w:afterAutospacing="0" w:line="488" w:lineRule="atLeast"/>
        <w:jc w:val="both"/>
        <w:rPr>
          <w:color w:val="000000" w:themeColor="text1"/>
          <w:spacing w:val="-3"/>
        </w:rPr>
      </w:pPr>
      <w:r w:rsidRPr="00266B19">
        <w:rPr>
          <w:color w:val="000000" w:themeColor="text1"/>
          <w:spacing w:val="-3"/>
        </w:rPr>
        <w:t>Other products which had acceptability in international markets were allowed to manufacture. Exports were allowed for all types of crops. Import of latest technology was encouraged to develop more skills in agriculture.</w:t>
      </w:r>
    </w:p>
    <w:p w:rsidR="00266B19" w:rsidRPr="00266B19" w:rsidRDefault="00266B19" w:rsidP="00266B19">
      <w:pPr>
        <w:pStyle w:val="Heading4"/>
        <w:spacing w:line="330" w:lineRule="atLeast"/>
        <w:jc w:val="both"/>
        <w:rPr>
          <w:rFonts w:ascii="Times New Roman" w:hAnsi="Times New Roman" w:cs="Times New Roman"/>
          <w:color w:val="000000" w:themeColor="text1"/>
          <w:sz w:val="24"/>
          <w:szCs w:val="24"/>
        </w:rPr>
      </w:pPr>
      <w:r w:rsidRPr="00266B19">
        <w:rPr>
          <w:rStyle w:val="Strong"/>
          <w:rFonts w:ascii="Times New Roman" w:hAnsi="Times New Roman" w:cs="Times New Roman"/>
          <w:b w:val="0"/>
          <w:bCs w:val="0"/>
          <w:color w:val="000000" w:themeColor="text1"/>
          <w:sz w:val="24"/>
          <w:szCs w:val="24"/>
        </w:rPr>
        <w:t>V. Freedom to Import Capital Goods</w:t>
      </w:r>
    </w:p>
    <w:p w:rsidR="00266B19" w:rsidRPr="00266B19" w:rsidRDefault="00266B19" w:rsidP="00266B19">
      <w:pPr>
        <w:pStyle w:val="NormalWeb"/>
        <w:spacing w:before="150" w:beforeAutospacing="0" w:after="450" w:afterAutospacing="0" w:line="488" w:lineRule="atLeast"/>
        <w:jc w:val="both"/>
        <w:rPr>
          <w:color w:val="000000" w:themeColor="text1"/>
          <w:spacing w:val="-3"/>
        </w:rPr>
      </w:pPr>
      <w:r w:rsidRPr="00266B19">
        <w:rPr>
          <w:rStyle w:val="Strong"/>
          <w:color w:val="000000" w:themeColor="text1"/>
          <w:spacing w:val="-3"/>
        </w:rPr>
        <w:t> </w:t>
      </w:r>
      <w:r w:rsidRPr="00266B19">
        <w:rPr>
          <w:color w:val="000000" w:themeColor="text1"/>
          <w:spacing w:val="-3"/>
        </w:rPr>
        <w:t>To upgrade and adopt technology which is more advanced as compared to existing technology, the business houses, and production units were allowed to import capital goods from advanced countries. This helped in increasing the per-acreage cultivation across the country. Farmers and producers of other products were allowed to exchange the technological up gradation.</w:t>
      </w:r>
    </w:p>
    <w:p w:rsidR="00266B19" w:rsidRPr="00266B19" w:rsidRDefault="00266B19" w:rsidP="00266B19">
      <w:pPr>
        <w:pStyle w:val="Heading3"/>
        <w:spacing w:line="367" w:lineRule="atLeast"/>
        <w:jc w:val="both"/>
        <w:rPr>
          <w:rFonts w:ascii="Times New Roman" w:hAnsi="Times New Roman" w:cs="Times New Roman"/>
          <w:color w:val="000000" w:themeColor="text1"/>
        </w:rPr>
      </w:pPr>
      <w:r w:rsidRPr="00266B19">
        <w:rPr>
          <w:rStyle w:val="Strong"/>
          <w:rFonts w:ascii="Times New Roman" w:hAnsi="Times New Roman" w:cs="Times New Roman"/>
          <w:b w:val="0"/>
          <w:bCs w:val="0"/>
          <w:i/>
          <w:iCs/>
          <w:color w:val="000000" w:themeColor="text1"/>
        </w:rPr>
        <w:t>2. Financial Sector Reforms</w:t>
      </w:r>
    </w:p>
    <w:p w:rsidR="00266B19" w:rsidRPr="00266B19" w:rsidRDefault="00266B19" w:rsidP="00266B19">
      <w:pPr>
        <w:pStyle w:val="NormalWeb"/>
        <w:spacing w:before="150" w:beforeAutospacing="0" w:after="450" w:afterAutospacing="0" w:line="488" w:lineRule="atLeast"/>
        <w:jc w:val="both"/>
        <w:rPr>
          <w:color w:val="000000" w:themeColor="text1"/>
          <w:spacing w:val="-3"/>
        </w:rPr>
      </w:pPr>
      <w:r w:rsidRPr="00266B19">
        <w:rPr>
          <w:color w:val="000000" w:themeColor="text1"/>
          <w:spacing w:val="-3"/>
        </w:rPr>
        <w:t>Financial Sector includes various financial institutes like Commercial Banks, investment banks, stock exchange operators and foreign exchange dealers.</w:t>
      </w:r>
    </w:p>
    <w:p w:rsidR="00266B19" w:rsidRPr="00266B19" w:rsidRDefault="00266B19" w:rsidP="00266B19">
      <w:pPr>
        <w:pStyle w:val="NormalWeb"/>
        <w:spacing w:before="150" w:beforeAutospacing="0" w:after="450" w:afterAutospacing="0" w:line="488" w:lineRule="atLeast"/>
        <w:jc w:val="both"/>
        <w:rPr>
          <w:color w:val="000000" w:themeColor="text1"/>
          <w:spacing w:val="-3"/>
        </w:rPr>
      </w:pPr>
      <w:r w:rsidRPr="00266B19">
        <w:rPr>
          <w:color w:val="000000" w:themeColor="text1"/>
          <w:spacing w:val="-3"/>
        </w:rPr>
        <w:t>Following reforms were enforced and initiated in above mentioned financial institutes:</w:t>
      </w:r>
    </w:p>
    <w:p w:rsidR="00266B19" w:rsidRPr="00266B19" w:rsidRDefault="00266B19" w:rsidP="00266B19">
      <w:pPr>
        <w:pStyle w:val="Heading4"/>
        <w:spacing w:line="330" w:lineRule="atLeast"/>
        <w:jc w:val="both"/>
        <w:rPr>
          <w:rFonts w:ascii="Times New Roman" w:hAnsi="Times New Roman" w:cs="Times New Roman"/>
          <w:color w:val="000000" w:themeColor="text1"/>
          <w:sz w:val="24"/>
          <w:szCs w:val="24"/>
        </w:rPr>
      </w:pPr>
      <w:r w:rsidRPr="00266B19">
        <w:rPr>
          <w:rStyle w:val="Strong"/>
          <w:rFonts w:ascii="Times New Roman" w:hAnsi="Times New Roman" w:cs="Times New Roman"/>
          <w:b w:val="0"/>
          <w:bCs w:val="0"/>
          <w:color w:val="000000" w:themeColor="text1"/>
          <w:sz w:val="24"/>
          <w:szCs w:val="24"/>
        </w:rPr>
        <w:lastRenderedPageBreak/>
        <w:t>I. Reducing various ratios</w:t>
      </w:r>
    </w:p>
    <w:p w:rsidR="00266B19" w:rsidRPr="00266B19" w:rsidRDefault="00266B19" w:rsidP="00266B19">
      <w:pPr>
        <w:numPr>
          <w:ilvl w:val="0"/>
          <w:numId w:val="5"/>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Statutory Liquidity Ratio (SLR) was lowered from 38.5% to 25%.</w:t>
      </w:r>
    </w:p>
    <w:p w:rsidR="00266B19" w:rsidRPr="00266B19" w:rsidRDefault="00266B19" w:rsidP="00266B19">
      <w:pPr>
        <w:numPr>
          <w:ilvl w:val="0"/>
          <w:numId w:val="5"/>
        </w:numPr>
        <w:spacing w:before="100" w:beforeAutospacing="1" w:after="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Cash Reserve Ratio (CRR) was lowered from 15% to 4.1%.</w:t>
      </w:r>
    </w:p>
    <w:p w:rsidR="00266B19" w:rsidRPr="00266B19" w:rsidRDefault="00266B19" w:rsidP="00266B19">
      <w:pPr>
        <w:pStyle w:val="Heading4"/>
        <w:spacing w:line="330" w:lineRule="atLeast"/>
        <w:jc w:val="both"/>
        <w:rPr>
          <w:rFonts w:ascii="Times New Roman" w:hAnsi="Times New Roman" w:cs="Times New Roman"/>
          <w:color w:val="000000" w:themeColor="text1"/>
          <w:sz w:val="24"/>
          <w:szCs w:val="24"/>
        </w:rPr>
      </w:pPr>
      <w:r w:rsidRPr="00266B19">
        <w:rPr>
          <w:rStyle w:val="Strong"/>
          <w:rFonts w:ascii="Times New Roman" w:hAnsi="Times New Roman" w:cs="Times New Roman"/>
          <w:b w:val="0"/>
          <w:bCs w:val="0"/>
          <w:color w:val="000000" w:themeColor="text1"/>
          <w:sz w:val="24"/>
          <w:szCs w:val="24"/>
        </w:rPr>
        <w:t>II. Competition from new private banks</w:t>
      </w:r>
    </w:p>
    <w:p w:rsidR="00266B19" w:rsidRPr="00266B19" w:rsidRDefault="00266B19" w:rsidP="00266B19">
      <w:pPr>
        <w:numPr>
          <w:ilvl w:val="0"/>
          <w:numId w:val="6"/>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The banking sector emerged in the private sector and many players grabbed the opportunity to compete with public sector banks.</w:t>
      </w:r>
    </w:p>
    <w:p w:rsidR="00266B19" w:rsidRPr="00266B19" w:rsidRDefault="00266B19" w:rsidP="00266B19">
      <w:pPr>
        <w:numPr>
          <w:ilvl w:val="0"/>
          <w:numId w:val="6"/>
        </w:numPr>
        <w:spacing w:before="100" w:beforeAutospacing="1" w:after="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This lead to the creation of positive competition and expansion of the service sector for the consumers.</w:t>
      </w:r>
    </w:p>
    <w:p w:rsidR="00266B19" w:rsidRPr="00266B19" w:rsidRDefault="00266B19" w:rsidP="00266B19">
      <w:pPr>
        <w:pStyle w:val="Heading4"/>
        <w:spacing w:line="330" w:lineRule="atLeast"/>
        <w:jc w:val="both"/>
        <w:rPr>
          <w:rFonts w:ascii="Times New Roman" w:hAnsi="Times New Roman" w:cs="Times New Roman"/>
          <w:color w:val="000000" w:themeColor="text1"/>
          <w:sz w:val="24"/>
          <w:szCs w:val="24"/>
        </w:rPr>
      </w:pPr>
      <w:r w:rsidRPr="00266B19">
        <w:rPr>
          <w:rStyle w:val="Strong"/>
          <w:rFonts w:ascii="Times New Roman" w:hAnsi="Times New Roman" w:cs="Times New Roman"/>
          <w:b w:val="0"/>
          <w:bCs w:val="0"/>
          <w:color w:val="000000" w:themeColor="text1"/>
          <w:sz w:val="24"/>
          <w:szCs w:val="24"/>
        </w:rPr>
        <w:t>III. Change in the role of RBI</w:t>
      </w:r>
    </w:p>
    <w:p w:rsidR="00266B19" w:rsidRPr="00266B19" w:rsidRDefault="00266B19" w:rsidP="00266B19">
      <w:pPr>
        <w:pStyle w:val="NormalWeb"/>
        <w:spacing w:before="150" w:beforeAutospacing="0" w:after="450" w:afterAutospacing="0" w:line="488" w:lineRule="atLeast"/>
        <w:jc w:val="both"/>
        <w:rPr>
          <w:color w:val="000000" w:themeColor="text1"/>
          <w:spacing w:val="-3"/>
        </w:rPr>
      </w:pPr>
      <w:r w:rsidRPr="00266B19">
        <w:rPr>
          <w:color w:val="000000" w:themeColor="text1"/>
          <w:spacing w:val="-3"/>
        </w:rPr>
        <w:t>The ace bank of the country i.e. The Reserve Bank of India became a “facilitator”. Earlier RBI was the regulator of the financial activities in the country.</w:t>
      </w:r>
    </w:p>
    <w:p w:rsidR="00266B19" w:rsidRPr="00266B19" w:rsidRDefault="00266B19" w:rsidP="00266B19">
      <w:pPr>
        <w:pStyle w:val="Heading4"/>
        <w:spacing w:line="330" w:lineRule="atLeast"/>
        <w:jc w:val="both"/>
        <w:rPr>
          <w:rFonts w:ascii="Times New Roman" w:hAnsi="Times New Roman" w:cs="Times New Roman"/>
          <w:color w:val="000000" w:themeColor="text1"/>
          <w:sz w:val="24"/>
          <w:szCs w:val="24"/>
        </w:rPr>
      </w:pPr>
      <w:r w:rsidRPr="00266B19">
        <w:rPr>
          <w:rStyle w:val="Strong"/>
          <w:rFonts w:ascii="Times New Roman" w:hAnsi="Times New Roman" w:cs="Times New Roman"/>
          <w:b w:val="0"/>
          <w:bCs w:val="0"/>
          <w:color w:val="000000" w:themeColor="text1"/>
          <w:sz w:val="24"/>
          <w:szCs w:val="24"/>
        </w:rPr>
        <w:t>IV. De-regulation on interest rates</w:t>
      </w:r>
    </w:p>
    <w:p w:rsidR="00266B19" w:rsidRPr="00266B19" w:rsidRDefault="00266B19" w:rsidP="00266B19">
      <w:pPr>
        <w:pStyle w:val="NormalWeb"/>
        <w:spacing w:before="150" w:beforeAutospacing="0" w:after="450" w:afterAutospacing="0" w:line="488" w:lineRule="atLeast"/>
        <w:jc w:val="both"/>
        <w:rPr>
          <w:color w:val="000000" w:themeColor="text1"/>
          <w:spacing w:val="-3"/>
        </w:rPr>
      </w:pPr>
      <w:r w:rsidRPr="00266B19">
        <w:rPr>
          <w:color w:val="000000" w:themeColor="text1"/>
          <w:spacing w:val="-3"/>
        </w:rPr>
        <w:t>Banks were allowed to set their own interest rates on all business and commercial borrowings. But for saving bank deposits, the control was with the central government.</w:t>
      </w:r>
    </w:p>
    <w:p w:rsidR="00266B19" w:rsidRPr="00266B19" w:rsidRDefault="00266B19" w:rsidP="00266B19">
      <w:pPr>
        <w:pStyle w:val="Heading3"/>
        <w:spacing w:line="367" w:lineRule="atLeast"/>
        <w:jc w:val="both"/>
        <w:rPr>
          <w:rFonts w:ascii="Times New Roman" w:hAnsi="Times New Roman" w:cs="Times New Roman"/>
          <w:color w:val="000000" w:themeColor="text1"/>
        </w:rPr>
      </w:pPr>
      <w:r w:rsidRPr="00266B19">
        <w:rPr>
          <w:rStyle w:val="Strong"/>
          <w:rFonts w:ascii="Times New Roman" w:hAnsi="Times New Roman" w:cs="Times New Roman"/>
          <w:b w:val="0"/>
          <w:bCs w:val="0"/>
          <w:color w:val="000000" w:themeColor="text1"/>
        </w:rPr>
        <w:t> </w:t>
      </w:r>
      <w:r w:rsidRPr="00266B19">
        <w:rPr>
          <w:rStyle w:val="Emphasis"/>
          <w:rFonts w:ascii="Times New Roman" w:hAnsi="Times New Roman" w:cs="Times New Roman"/>
          <w:color w:val="000000" w:themeColor="text1"/>
        </w:rPr>
        <w:t>3. </w:t>
      </w:r>
      <w:r w:rsidRPr="00266B19">
        <w:rPr>
          <w:rStyle w:val="Strong"/>
          <w:rFonts w:ascii="Times New Roman" w:hAnsi="Times New Roman" w:cs="Times New Roman"/>
          <w:b w:val="0"/>
          <w:bCs w:val="0"/>
          <w:i/>
          <w:iCs/>
          <w:color w:val="000000" w:themeColor="text1"/>
        </w:rPr>
        <w:t>Tax Reforms / Fiscal Reforms</w:t>
      </w:r>
    </w:p>
    <w:p w:rsidR="00266B19" w:rsidRPr="00266B19" w:rsidRDefault="00266B19" w:rsidP="00266B19">
      <w:pPr>
        <w:pStyle w:val="NormalWeb"/>
        <w:spacing w:before="150" w:beforeAutospacing="0" w:after="450" w:afterAutospacing="0" w:line="488" w:lineRule="atLeast"/>
        <w:jc w:val="both"/>
        <w:rPr>
          <w:color w:val="000000" w:themeColor="text1"/>
          <w:spacing w:val="-3"/>
        </w:rPr>
      </w:pPr>
      <w:r w:rsidRPr="00266B19">
        <w:rPr>
          <w:color w:val="000000" w:themeColor="text1"/>
          <w:spacing w:val="-3"/>
        </w:rPr>
        <w:t>Fiscal Reforms are the policies set for the government’s taxation and public expenditure policies. All macroeconomic related issues are part of fiscal policies designed by the central government. Prior policy simplified the tax structure and taxation rates were dropped and reduced for convenience of the taxpayers.</w:t>
      </w:r>
    </w:p>
    <w:p w:rsidR="00266B19" w:rsidRPr="00266B19" w:rsidRDefault="00266B19" w:rsidP="00266B19">
      <w:pPr>
        <w:pStyle w:val="NormalWeb"/>
        <w:spacing w:before="150" w:beforeAutospacing="0" w:after="450" w:afterAutospacing="0" w:line="488" w:lineRule="atLeast"/>
        <w:jc w:val="both"/>
        <w:rPr>
          <w:color w:val="000000" w:themeColor="text1"/>
          <w:spacing w:val="-3"/>
        </w:rPr>
      </w:pPr>
      <w:r w:rsidRPr="00266B19">
        <w:rPr>
          <w:color w:val="000000" w:themeColor="text1"/>
          <w:spacing w:val="-3"/>
        </w:rPr>
        <w:t xml:space="preserve">This increased the tax revenue for the government and reduced all tax evasion strategies which taxpayers used to follow to skip tax liability. As the tax revenue and other revenues increased for the </w:t>
      </w:r>
      <w:r w:rsidRPr="00266B19">
        <w:rPr>
          <w:color w:val="000000" w:themeColor="text1"/>
          <w:spacing w:val="-3"/>
        </w:rPr>
        <w:lastRenderedPageBreak/>
        <w:t>government, correspondingly government started developing all the areas which were either underdeveloped or undeveloped.</w:t>
      </w:r>
    </w:p>
    <w:p w:rsidR="00266B19" w:rsidRPr="00266B19" w:rsidRDefault="00266B19" w:rsidP="00266B19">
      <w:pPr>
        <w:pStyle w:val="Heading3"/>
        <w:spacing w:line="367" w:lineRule="atLeast"/>
        <w:jc w:val="both"/>
        <w:rPr>
          <w:rFonts w:ascii="Times New Roman" w:hAnsi="Times New Roman" w:cs="Times New Roman"/>
          <w:color w:val="000000" w:themeColor="text1"/>
        </w:rPr>
      </w:pPr>
      <w:r w:rsidRPr="00266B19">
        <w:rPr>
          <w:rStyle w:val="Strong"/>
          <w:rFonts w:ascii="Times New Roman" w:hAnsi="Times New Roman" w:cs="Times New Roman"/>
          <w:b w:val="0"/>
          <w:bCs w:val="0"/>
          <w:i/>
          <w:iCs/>
          <w:color w:val="000000" w:themeColor="text1"/>
        </w:rPr>
        <w:t>4. Foreign Exchange Reforms / External Sector Reforms</w:t>
      </w:r>
    </w:p>
    <w:p w:rsidR="00266B19" w:rsidRPr="00266B19" w:rsidRDefault="00266B19" w:rsidP="00266B19">
      <w:pPr>
        <w:pStyle w:val="NormalWeb"/>
        <w:spacing w:before="150" w:beforeAutospacing="0" w:after="450" w:afterAutospacing="0" w:line="488" w:lineRule="atLeast"/>
        <w:jc w:val="both"/>
        <w:rPr>
          <w:color w:val="000000" w:themeColor="text1"/>
          <w:spacing w:val="-3"/>
        </w:rPr>
      </w:pPr>
      <w:r w:rsidRPr="00266B19">
        <w:rPr>
          <w:rStyle w:val="Strong"/>
          <w:color w:val="000000" w:themeColor="text1"/>
          <w:spacing w:val="-3"/>
        </w:rPr>
        <w:t> </w:t>
      </w:r>
      <w:r w:rsidRPr="00266B19">
        <w:rPr>
          <w:color w:val="000000" w:themeColor="text1"/>
          <w:spacing w:val="-3"/>
        </w:rPr>
        <w:t>All foreign exchange policies and foreign trade policies were covered in external sector reforms. These were developed to increase international trade between countries. Various reforms were initiated in this sector to develop the foreign exchange reserves. Some of the reforms were:</w:t>
      </w:r>
    </w:p>
    <w:p w:rsidR="00266B19" w:rsidRPr="00266B19" w:rsidRDefault="00266B19" w:rsidP="00266B19">
      <w:pPr>
        <w:pStyle w:val="Heading4"/>
        <w:spacing w:line="330" w:lineRule="atLeast"/>
        <w:jc w:val="both"/>
        <w:rPr>
          <w:rFonts w:ascii="Times New Roman" w:hAnsi="Times New Roman" w:cs="Times New Roman"/>
          <w:color w:val="000000" w:themeColor="text1"/>
          <w:sz w:val="24"/>
          <w:szCs w:val="24"/>
        </w:rPr>
      </w:pPr>
      <w:r w:rsidRPr="00266B19">
        <w:rPr>
          <w:rStyle w:val="Strong"/>
          <w:rFonts w:ascii="Times New Roman" w:hAnsi="Times New Roman" w:cs="Times New Roman"/>
          <w:b w:val="0"/>
          <w:bCs w:val="0"/>
          <w:color w:val="000000" w:themeColor="text1"/>
          <w:sz w:val="24"/>
          <w:szCs w:val="24"/>
        </w:rPr>
        <w:t>I. Devaluation of Rupee</w:t>
      </w:r>
    </w:p>
    <w:p w:rsidR="00266B19" w:rsidRPr="00266B19" w:rsidRDefault="00266B19" w:rsidP="00266B19">
      <w:pPr>
        <w:pStyle w:val="NormalWeb"/>
        <w:spacing w:before="150" w:beforeAutospacing="0" w:after="450" w:afterAutospacing="0" w:line="488" w:lineRule="atLeast"/>
        <w:jc w:val="both"/>
        <w:rPr>
          <w:color w:val="000000" w:themeColor="text1"/>
          <w:spacing w:val="-3"/>
        </w:rPr>
      </w:pPr>
      <w:r w:rsidRPr="00266B19">
        <w:rPr>
          <w:color w:val="000000" w:themeColor="text1"/>
          <w:spacing w:val="-3"/>
        </w:rPr>
        <w:t>The value of the rupee was deliberately devalued to encourage exports and discourage imports. In 1991, to increase foreign exchange reserves, exports were promoted and all relevant benefits were provided to exporters.</w:t>
      </w:r>
    </w:p>
    <w:p w:rsidR="00266B19" w:rsidRPr="00266B19" w:rsidRDefault="00266B19" w:rsidP="00266B19">
      <w:pPr>
        <w:pStyle w:val="Heading4"/>
        <w:spacing w:line="330" w:lineRule="atLeast"/>
        <w:jc w:val="both"/>
        <w:rPr>
          <w:rFonts w:ascii="Times New Roman" w:hAnsi="Times New Roman" w:cs="Times New Roman"/>
          <w:color w:val="000000" w:themeColor="text1"/>
          <w:sz w:val="24"/>
          <w:szCs w:val="24"/>
        </w:rPr>
      </w:pPr>
      <w:r w:rsidRPr="00266B19">
        <w:rPr>
          <w:rStyle w:val="Strong"/>
          <w:rFonts w:ascii="Times New Roman" w:hAnsi="Times New Roman" w:cs="Times New Roman"/>
          <w:b w:val="0"/>
          <w:bCs w:val="0"/>
          <w:color w:val="000000" w:themeColor="text1"/>
          <w:sz w:val="24"/>
          <w:szCs w:val="24"/>
        </w:rPr>
        <w:t>II. Other Measures-</w:t>
      </w:r>
    </w:p>
    <w:p w:rsidR="00266B19" w:rsidRPr="00266B19" w:rsidRDefault="00266B19" w:rsidP="00266B19">
      <w:pPr>
        <w:numPr>
          <w:ilvl w:val="0"/>
          <w:numId w:val="7"/>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The quota system was abolished. Especially on imports</w:t>
      </w:r>
    </w:p>
    <w:p w:rsidR="00266B19" w:rsidRPr="00266B19" w:rsidRDefault="00266B19" w:rsidP="00266B19">
      <w:pPr>
        <w:numPr>
          <w:ilvl w:val="0"/>
          <w:numId w:val="7"/>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All import related policies were trashed</w:t>
      </w:r>
    </w:p>
    <w:p w:rsidR="00266B19" w:rsidRPr="00266B19" w:rsidRDefault="00266B19" w:rsidP="00266B19">
      <w:pPr>
        <w:numPr>
          <w:ilvl w:val="0"/>
          <w:numId w:val="7"/>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Duties on various imported goods were reduced</w:t>
      </w:r>
    </w:p>
    <w:p w:rsidR="00266B19" w:rsidRPr="00266B19" w:rsidRDefault="00266B19" w:rsidP="00266B19">
      <w:pPr>
        <w:numPr>
          <w:ilvl w:val="0"/>
          <w:numId w:val="7"/>
        </w:numPr>
        <w:spacing w:before="100" w:beforeAutospacing="1" w:after="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All export duties were withdrawn</w:t>
      </w:r>
    </w:p>
    <w:p w:rsidR="00266B19" w:rsidRPr="00266B19" w:rsidRDefault="00266B19" w:rsidP="00266B19">
      <w:pPr>
        <w:pStyle w:val="Heading2"/>
        <w:spacing w:after="300" w:line="476" w:lineRule="atLeast"/>
        <w:ind w:left="-24"/>
        <w:jc w:val="both"/>
        <w:rPr>
          <w:rFonts w:ascii="Times New Roman" w:hAnsi="Times New Roman" w:cs="Times New Roman"/>
          <w:color w:val="000000" w:themeColor="text1"/>
          <w:spacing w:val="-4"/>
          <w:sz w:val="24"/>
          <w:szCs w:val="24"/>
        </w:rPr>
      </w:pPr>
      <w:r w:rsidRPr="00266B19">
        <w:rPr>
          <w:rStyle w:val="Strong"/>
          <w:rFonts w:ascii="Times New Roman" w:hAnsi="Times New Roman" w:cs="Times New Roman"/>
          <w:b w:val="0"/>
          <w:bCs w:val="0"/>
          <w:color w:val="000000" w:themeColor="text1"/>
          <w:spacing w:val="-4"/>
          <w:sz w:val="24"/>
          <w:szCs w:val="24"/>
        </w:rPr>
        <w:t>World Trade Organization (WTO)</w:t>
      </w:r>
    </w:p>
    <w:p w:rsidR="00266B19" w:rsidRPr="00266B19" w:rsidRDefault="00266B19" w:rsidP="00266B19">
      <w:pPr>
        <w:pStyle w:val="NormalWeb"/>
        <w:spacing w:before="150" w:beforeAutospacing="0" w:after="450" w:afterAutospacing="0" w:line="488" w:lineRule="atLeast"/>
        <w:jc w:val="both"/>
        <w:rPr>
          <w:color w:val="000000" w:themeColor="text1"/>
          <w:spacing w:val="-3"/>
        </w:rPr>
      </w:pPr>
      <w:r w:rsidRPr="00266B19">
        <w:rPr>
          <w:color w:val="000000" w:themeColor="text1"/>
          <w:spacing w:val="-3"/>
        </w:rPr>
        <w:t>The world trade organization was constituted in lieu of The General Agreement on Trade and Tariff (GATT). In 1948, GATT was established with an association of 23 countries as a global trade organization to administrate all international and multinational trade agreements by providing equal opportunities to all the countries in international markets to encourage trading between the countries. This lead to a few transactional problems.</w:t>
      </w:r>
    </w:p>
    <w:p w:rsidR="00266B19" w:rsidRPr="00266B19" w:rsidRDefault="00266B19" w:rsidP="00266B19">
      <w:pPr>
        <w:pStyle w:val="NormalWeb"/>
        <w:spacing w:before="150" w:beforeAutospacing="0" w:after="450" w:afterAutospacing="0" w:line="488" w:lineRule="atLeast"/>
        <w:jc w:val="both"/>
        <w:rPr>
          <w:color w:val="000000" w:themeColor="text1"/>
          <w:spacing w:val="-3"/>
        </w:rPr>
      </w:pPr>
      <w:r w:rsidRPr="00266B19">
        <w:rPr>
          <w:color w:val="000000" w:themeColor="text1"/>
          <w:spacing w:val="-3"/>
        </w:rPr>
        <w:lastRenderedPageBreak/>
        <w:t>Some functions of the WTO are,</w:t>
      </w:r>
    </w:p>
    <w:p w:rsidR="00266B19" w:rsidRPr="00266B19" w:rsidRDefault="00266B19" w:rsidP="00266B19">
      <w:pPr>
        <w:numPr>
          <w:ilvl w:val="0"/>
          <w:numId w:val="8"/>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The main function of WTO was to administrate “Trade review Mechanism”</w:t>
      </w:r>
    </w:p>
    <w:p w:rsidR="00266B19" w:rsidRPr="00266B19" w:rsidRDefault="00266B19" w:rsidP="00266B19">
      <w:pPr>
        <w:numPr>
          <w:ilvl w:val="0"/>
          <w:numId w:val="8"/>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World Trade Organization was the facilitator for implementation, operation, and administration of all relevant objectives of multilateral trade agreements.</w:t>
      </w:r>
    </w:p>
    <w:p w:rsidR="00266B19" w:rsidRPr="00266B19" w:rsidRDefault="00266B19" w:rsidP="00266B19">
      <w:pPr>
        <w:numPr>
          <w:ilvl w:val="0"/>
          <w:numId w:val="8"/>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World Trade Organization was the administrator of “Understanding the rules, procedures and governing the settlement disputes”</w:t>
      </w:r>
    </w:p>
    <w:p w:rsidR="00266B19" w:rsidRPr="00266B19" w:rsidRDefault="00266B19" w:rsidP="00266B19">
      <w:pPr>
        <w:numPr>
          <w:ilvl w:val="0"/>
          <w:numId w:val="8"/>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WTO acted as the watchdogs of international trade and ensured all trade-related rules are followed and examine the trade regimes of individual members.</w:t>
      </w:r>
    </w:p>
    <w:p w:rsidR="00266B19" w:rsidRPr="00266B19" w:rsidRDefault="00266B19" w:rsidP="00266B19">
      <w:pPr>
        <w:numPr>
          <w:ilvl w:val="0"/>
          <w:numId w:val="8"/>
        </w:numPr>
        <w:spacing w:before="100" w:beforeAutospacing="1" w:after="21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WTO had its own dispute settlement court to resolve all matters which cannot be resolved through bilateral talks and discussions.</w:t>
      </w:r>
    </w:p>
    <w:p w:rsidR="00266B19" w:rsidRPr="00266B19" w:rsidRDefault="00266B19" w:rsidP="00266B19">
      <w:pPr>
        <w:numPr>
          <w:ilvl w:val="0"/>
          <w:numId w:val="8"/>
        </w:numPr>
        <w:spacing w:before="100" w:beforeAutospacing="1" w:after="0" w:line="498" w:lineRule="atLeast"/>
        <w:ind w:left="450"/>
        <w:jc w:val="both"/>
        <w:rPr>
          <w:rFonts w:ascii="Times New Roman" w:hAnsi="Times New Roman" w:cs="Times New Roman"/>
          <w:color w:val="000000" w:themeColor="text1"/>
          <w:sz w:val="24"/>
          <w:szCs w:val="24"/>
        </w:rPr>
      </w:pPr>
      <w:r w:rsidRPr="00266B19">
        <w:rPr>
          <w:rFonts w:ascii="Times New Roman" w:hAnsi="Times New Roman" w:cs="Times New Roman"/>
          <w:color w:val="000000" w:themeColor="text1"/>
          <w:sz w:val="24"/>
          <w:szCs w:val="24"/>
        </w:rPr>
        <w:t>It is the management consultant in the international market. The economists in WTO keep a close look at the global economy and provide studies on main issues for the day.</w:t>
      </w:r>
    </w:p>
    <w:p w:rsidR="00625223" w:rsidRPr="00266B19" w:rsidRDefault="00625223" w:rsidP="00266B19">
      <w:pPr>
        <w:jc w:val="both"/>
        <w:rPr>
          <w:rFonts w:ascii="Times New Roman" w:hAnsi="Times New Roman" w:cs="Times New Roman"/>
          <w:color w:val="000000" w:themeColor="text1"/>
          <w:sz w:val="24"/>
          <w:szCs w:val="24"/>
        </w:rPr>
      </w:pPr>
    </w:p>
    <w:sectPr w:rsidR="00625223" w:rsidRPr="0026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6D9"/>
    <w:multiLevelType w:val="multilevel"/>
    <w:tmpl w:val="002E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569CD"/>
    <w:multiLevelType w:val="multilevel"/>
    <w:tmpl w:val="3216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F04B9"/>
    <w:multiLevelType w:val="multilevel"/>
    <w:tmpl w:val="978E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633D7"/>
    <w:multiLevelType w:val="multilevel"/>
    <w:tmpl w:val="E398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B3C93"/>
    <w:multiLevelType w:val="multilevel"/>
    <w:tmpl w:val="3E90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73339"/>
    <w:multiLevelType w:val="multilevel"/>
    <w:tmpl w:val="9794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AF7C36"/>
    <w:multiLevelType w:val="multilevel"/>
    <w:tmpl w:val="0F12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1E6B3D"/>
    <w:multiLevelType w:val="multilevel"/>
    <w:tmpl w:val="B042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5"/>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E8"/>
    <w:rsid w:val="00266B19"/>
    <w:rsid w:val="0057522F"/>
    <w:rsid w:val="00625223"/>
    <w:rsid w:val="009C47E8"/>
    <w:rsid w:val="00F7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7D99"/>
  <w15:chartTrackingRefBased/>
  <w15:docId w15:val="{A3605A84-E379-445B-A9E3-6A5BA85B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0D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66B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66B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66B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D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0D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0D6C"/>
    <w:rPr>
      <w:color w:val="0000FF"/>
      <w:u w:val="single"/>
    </w:rPr>
  </w:style>
  <w:style w:type="character" w:customStyle="1" w:styleId="Heading2Char">
    <w:name w:val="Heading 2 Char"/>
    <w:basedOn w:val="DefaultParagraphFont"/>
    <w:link w:val="Heading2"/>
    <w:uiPriority w:val="9"/>
    <w:semiHidden/>
    <w:rsid w:val="00266B1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66B19"/>
    <w:rPr>
      <w:b/>
      <w:bCs/>
    </w:rPr>
  </w:style>
  <w:style w:type="character" w:customStyle="1" w:styleId="Heading3Char">
    <w:name w:val="Heading 3 Char"/>
    <w:basedOn w:val="DefaultParagraphFont"/>
    <w:link w:val="Heading3"/>
    <w:uiPriority w:val="9"/>
    <w:semiHidden/>
    <w:rsid w:val="00266B1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66B19"/>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66B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38328">
      <w:bodyDiv w:val="1"/>
      <w:marLeft w:val="0"/>
      <w:marRight w:val="0"/>
      <w:marTop w:val="0"/>
      <w:marBottom w:val="0"/>
      <w:divBdr>
        <w:top w:val="none" w:sz="0" w:space="0" w:color="auto"/>
        <w:left w:val="none" w:sz="0" w:space="0" w:color="auto"/>
        <w:bottom w:val="none" w:sz="0" w:space="0" w:color="auto"/>
        <w:right w:val="none" w:sz="0" w:space="0" w:color="auto"/>
      </w:divBdr>
    </w:div>
    <w:div w:id="1125925773">
      <w:bodyDiv w:val="1"/>
      <w:marLeft w:val="0"/>
      <w:marRight w:val="0"/>
      <w:marTop w:val="0"/>
      <w:marBottom w:val="0"/>
      <w:divBdr>
        <w:top w:val="none" w:sz="0" w:space="0" w:color="auto"/>
        <w:left w:val="none" w:sz="0" w:space="0" w:color="auto"/>
        <w:bottom w:val="none" w:sz="0" w:space="0" w:color="auto"/>
        <w:right w:val="none" w:sz="0" w:space="0" w:color="auto"/>
      </w:divBdr>
    </w:div>
    <w:div w:id="192999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general-awareness/industrial-development-and-foreign-trade/popular-industries-in-india/" TargetMode="External"/><Relationship Id="rId13" Type="http://schemas.openxmlformats.org/officeDocument/2006/relationships/hyperlink" Target="https://www.toppr.com/guides/business-environment/scales-of-business/small-scale-industries/" TargetMode="External"/><Relationship Id="rId3" Type="http://schemas.openxmlformats.org/officeDocument/2006/relationships/settings" Target="settings.xml"/><Relationship Id="rId7" Type="http://schemas.openxmlformats.org/officeDocument/2006/relationships/hyperlink" Target="https://www.toppr.com/guides/quantitative-aptitude/work-and-time/work-from-days/" TargetMode="External"/><Relationship Id="rId12" Type="http://schemas.openxmlformats.org/officeDocument/2006/relationships/hyperlink" Target="https://www.toppr.com/guides/chemistry/chemistry-in-everyday-life/drugs-and-their-class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pr.com/guides/business-laws/companies-act-2013/private-companies/" TargetMode="External"/><Relationship Id="rId11" Type="http://schemas.openxmlformats.org/officeDocument/2006/relationships/hyperlink" Target="https://www.toppr.com/guides/chemistry/chemistry-in-everyday-life/chemicals-in-food/" TargetMode="External"/><Relationship Id="rId5" Type="http://schemas.openxmlformats.org/officeDocument/2006/relationships/hyperlink" Target="https://www.toppr.com/guides/geography/our-country-india/india-our-country/" TargetMode="External"/><Relationship Id="rId15" Type="http://schemas.openxmlformats.org/officeDocument/2006/relationships/theme" Target="theme/theme1.xml"/><Relationship Id="rId10" Type="http://schemas.openxmlformats.org/officeDocument/2006/relationships/hyperlink" Target="https://www.toppr.com/guides/maths/comparing-quantities/tax/" TargetMode="External"/><Relationship Id="rId4" Type="http://schemas.openxmlformats.org/officeDocument/2006/relationships/webSettings" Target="webSettings.xml"/><Relationship Id="rId9" Type="http://schemas.openxmlformats.org/officeDocument/2006/relationships/hyperlink" Target="https://www.toppr.com/guides/economics/government-budget-and-the-economy/deb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dc:creator>
  <cp:keywords/>
  <dc:description/>
  <cp:lastModifiedBy>Shyam</cp:lastModifiedBy>
  <cp:revision>4</cp:revision>
  <dcterms:created xsi:type="dcterms:W3CDTF">2020-04-11T17:14:00Z</dcterms:created>
  <dcterms:modified xsi:type="dcterms:W3CDTF">2020-04-11T17:16:00Z</dcterms:modified>
</cp:coreProperties>
</file>